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4A" w:rsidRPr="002E29D2" w:rsidRDefault="003422AF" w:rsidP="00CB17D2">
      <w:pPr>
        <w:spacing w:after="0" w:line="240" w:lineRule="auto"/>
        <w:rPr>
          <w:rFonts w:ascii="Andalus" w:hAnsi="Andalus" w:cs="Andalus"/>
        </w:rPr>
      </w:pPr>
      <w:r w:rsidRPr="002E29D2">
        <w:rPr>
          <w:rFonts w:ascii="Andalus" w:hAnsi="Andalus" w:cs="Andalus"/>
          <w:noProof/>
        </w:rPr>
        <w:drawing>
          <wp:inline distT="0" distB="0" distL="0" distR="0">
            <wp:extent cx="1851660" cy="457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2AF" w:rsidRPr="002E29D2" w:rsidRDefault="00B7646A" w:rsidP="00333970">
      <w:pPr>
        <w:spacing w:after="0" w:line="240" w:lineRule="auto"/>
        <w:ind w:left="5040" w:firstLine="720"/>
        <w:rPr>
          <w:rStyle w:val="Hyperlink"/>
          <w:rFonts w:ascii="Andalus" w:hAnsi="Andalus" w:cs="Andalus"/>
        </w:rPr>
      </w:pPr>
      <w:r w:rsidRPr="002E29D2">
        <w:rPr>
          <w:rStyle w:val="Hyperlink"/>
          <w:rFonts w:ascii="Andalus" w:hAnsi="Andalus" w:cs="Andalus"/>
          <w:u w:val="none"/>
        </w:rPr>
        <w:t xml:space="preserve">   </w:t>
      </w:r>
      <w:r w:rsidR="008145A2" w:rsidRPr="002E29D2">
        <w:rPr>
          <w:rStyle w:val="Hyperlink"/>
          <w:rFonts w:ascii="Andalus" w:hAnsi="Andalus" w:cs="Andalus"/>
          <w:u w:val="none"/>
        </w:rPr>
        <w:t xml:space="preserve"> </w:t>
      </w:r>
      <w:r w:rsidR="001A2528" w:rsidRPr="002E29D2">
        <w:rPr>
          <w:rStyle w:val="Hyperlink"/>
          <w:rFonts w:ascii="Andalus" w:hAnsi="Andalus" w:cs="Andalus"/>
        </w:rPr>
        <w:t xml:space="preserve">Date </w:t>
      </w:r>
      <w:r w:rsidR="007E33E2" w:rsidRPr="002E29D2">
        <w:rPr>
          <w:rStyle w:val="Hyperlink"/>
          <w:rFonts w:ascii="Andalus" w:hAnsi="Andalus" w:cs="Andalus"/>
        </w:rPr>
        <w:t>07</w:t>
      </w:r>
      <w:r w:rsidR="0086528B" w:rsidRPr="002E29D2">
        <w:rPr>
          <w:rStyle w:val="Hyperlink"/>
          <w:rFonts w:ascii="Andalus" w:hAnsi="Andalus" w:cs="Andalus"/>
        </w:rPr>
        <w:t>/05/2020</w:t>
      </w:r>
      <w:r w:rsidR="007E33E2" w:rsidRPr="002E29D2">
        <w:rPr>
          <w:rStyle w:val="Hyperlink"/>
          <w:rFonts w:ascii="Andalus" w:hAnsi="Andalus" w:cs="Andalus"/>
        </w:rPr>
        <w:t xml:space="preserve"> &amp; 08</w:t>
      </w:r>
      <w:r w:rsidRPr="002E29D2">
        <w:rPr>
          <w:rStyle w:val="Hyperlink"/>
          <w:rFonts w:ascii="Andalus" w:hAnsi="Andalus" w:cs="Andalus"/>
        </w:rPr>
        <w:t>/05/2020</w:t>
      </w:r>
    </w:p>
    <w:p w:rsidR="003422AF" w:rsidRPr="002E29D2" w:rsidRDefault="003422AF" w:rsidP="002466CD">
      <w:pPr>
        <w:pBdr>
          <w:bottom w:val="single" w:sz="12" w:space="3" w:color="auto"/>
        </w:pBdr>
        <w:spacing w:after="0" w:line="240" w:lineRule="auto"/>
        <w:jc w:val="center"/>
        <w:rPr>
          <w:rStyle w:val="Hyperlink"/>
          <w:rFonts w:ascii="Andalus" w:hAnsi="Andalus" w:cs="Andalus"/>
          <w:sz w:val="28"/>
          <w:szCs w:val="28"/>
        </w:rPr>
      </w:pPr>
      <w:r w:rsidRPr="002E29D2">
        <w:rPr>
          <w:rStyle w:val="Hyperlink"/>
          <w:rFonts w:ascii="Andalus" w:hAnsi="Andalus" w:cs="Andalus"/>
          <w:sz w:val="28"/>
          <w:szCs w:val="28"/>
        </w:rPr>
        <w:t>CIRCULAR</w:t>
      </w:r>
    </w:p>
    <w:p w:rsidR="003422AF" w:rsidRPr="002E29D2" w:rsidRDefault="003422AF" w:rsidP="00CB17D2">
      <w:pPr>
        <w:spacing w:after="0" w:line="240" w:lineRule="auto"/>
        <w:jc w:val="center"/>
        <w:rPr>
          <w:rStyle w:val="Hyperlink"/>
          <w:rFonts w:ascii="Andalus" w:hAnsi="Andalus" w:cs="Andalus"/>
        </w:rPr>
      </w:pPr>
    </w:p>
    <w:p w:rsidR="003422AF" w:rsidRPr="002E29D2" w:rsidRDefault="003422AF" w:rsidP="00CB17D2">
      <w:pPr>
        <w:spacing w:after="0" w:line="240" w:lineRule="auto"/>
        <w:rPr>
          <w:rStyle w:val="Hyperlink"/>
          <w:rFonts w:ascii="Andalus" w:hAnsi="Andalus" w:cs="Andalus"/>
          <w:sz w:val="28"/>
          <w:szCs w:val="28"/>
        </w:rPr>
      </w:pPr>
      <w:r w:rsidRPr="002E29D2">
        <w:rPr>
          <w:rStyle w:val="Hyperlink"/>
          <w:rFonts w:ascii="Andalus" w:hAnsi="Andalus" w:cs="Andalus"/>
          <w:sz w:val="28"/>
          <w:szCs w:val="28"/>
        </w:rPr>
        <w:t>NSE</w:t>
      </w:r>
    </w:p>
    <w:p w:rsidR="008D5B32" w:rsidRPr="002E29D2" w:rsidRDefault="008D5B32" w:rsidP="00CB17D2">
      <w:pPr>
        <w:spacing w:after="0" w:line="240" w:lineRule="auto"/>
        <w:rPr>
          <w:rFonts w:ascii="Andalus" w:hAnsi="Andalus" w:cs="Andalus"/>
        </w:rPr>
      </w:pPr>
    </w:p>
    <w:p w:rsidR="008D5B32" w:rsidRPr="002E29D2" w:rsidRDefault="00A15B5E" w:rsidP="00CB17D2">
      <w:pPr>
        <w:spacing w:after="0" w:line="240" w:lineRule="auto"/>
        <w:rPr>
          <w:rStyle w:val="Hyperlink"/>
          <w:rFonts w:ascii="Andalus" w:hAnsi="Andalus" w:cs="Andalus"/>
          <w:sz w:val="28"/>
          <w:szCs w:val="28"/>
        </w:rPr>
      </w:pPr>
      <w:hyperlink r:id="rId6" w:history="1">
        <w:r w:rsidRPr="002E29D2">
          <w:rPr>
            <w:rStyle w:val="Hyperlink"/>
            <w:rFonts w:ascii="Andalus" w:hAnsi="Andalus" w:cs="Andalus"/>
          </w:rPr>
          <w:t>Applicability of Additional Surveillance Measure (ASM)</w:t>
        </w:r>
      </w:hyperlink>
    </w:p>
    <w:p w:rsidR="00A15B5E" w:rsidRPr="002E29D2" w:rsidRDefault="00A15B5E" w:rsidP="00CB17D2">
      <w:pPr>
        <w:spacing w:after="0" w:line="240" w:lineRule="auto"/>
        <w:rPr>
          <w:rStyle w:val="Hyperlink"/>
          <w:rFonts w:ascii="Andalus" w:hAnsi="Andalus" w:cs="Andalus"/>
          <w:sz w:val="28"/>
          <w:szCs w:val="28"/>
        </w:rPr>
      </w:pPr>
      <w:hyperlink r:id="rId7" w:history="1">
        <w:r w:rsidRPr="002E29D2">
          <w:rPr>
            <w:rStyle w:val="Hyperlink"/>
            <w:rFonts w:ascii="Andalus" w:hAnsi="Andalus" w:cs="Andalus"/>
          </w:rPr>
          <w:t>Applicability of Short Term Additional Surveillance Measure (ST-ASM)</w:t>
        </w:r>
      </w:hyperlink>
    </w:p>
    <w:p w:rsidR="00A15B5E" w:rsidRPr="002E29D2" w:rsidRDefault="00A15B5E" w:rsidP="00CB17D2">
      <w:pPr>
        <w:spacing w:after="0" w:line="240" w:lineRule="auto"/>
        <w:rPr>
          <w:rStyle w:val="Hyperlink"/>
          <w:rFonts w:ascii="Andalus" w:hAnsi="Andalus" w:cs="Andalus"/>
          <w:sz w:val="28"/>
          <w:szCs w:val="28"/>
        </w:rPr>
      </w:pPr>
      <w:hyperlink r:id="rId8" w:history="1">
        <w:r w:rsidRPr="002E29D2">
          <w:rPr>
            <w:rStyle w:val="Hyperlink"/>
            <w:rFonts w:ascii="Andalus" w:hAnsi="Andalus" w:cs="Andalus"/>
          </w:rPr>
          <w:t>Applicability of Additional Surveillance Measure (ASM)</w:t>
        </w:r>
      </w:hyperlink>
    </w:p>
    <w:p w:rsidR="00A15B5E" w:rsidRPr="002E29D2" w:rsidRDefault="00A15B5E" w:rsidP="00CB17D2">
      <w:pPr>
        <w:spacing w:after="0" w:line="240" w:lineRule="auto"/>
        <w:rPr>
          <w:rStyle w:val="Hyperlink"/>
          <w:rFonts w:ascii="Andalus" w:hAnsi="Andalus" w:cs="Andalus"/>
          <w:sz w:val="28"/>
          <w:szCs w:val="28"/>
        </w:rPr>
      </w:pPr>
      <w:hyperlink r:id="rId9" w:history="1">
        <w:r w:rsidRPr="002E29D2">
          <w:rPr>
            <w:rStyle w:val="Hyperlink"/>
            <w:rFonts w:ascii="Andalus" w:hAnsi="Andalus" w:cs="Andalus"/>
          </w:rPr>
          <w:t>Graded Surveillance Measure (GSM) - Periodic relaxation of Surveillance action</w:t>
        </w:r>
      </w:hyperlink>
    </w:p>
    <w:p w:rsidR="00A15B5E" w:rsidRPr="002E29D2" w:rsidRDefault="00A15B5E" w:rsidP="00CB17D2">
      <w:pPr>
        <w:spacing w:after="0" w:line="240" w:lineRule="auto"/>
        <w:rPr>
          <w:rFonts w:ascii="Andalus" w:hAnsi="Andalus" w:cs="Andalus"/>
        </w:rPr>
      </w:pPr>
      <w:hyperlink r:id="rId10" w:history="1">
        <w:r w:rsidRPr="002E29D2">
          <w:rPr>
            <w:rStyle w:val="Hyperlink"/>
            <w:rFonts w:ascii="Andalus" w:hAnsi="Andalus" w:cs="Andalus"/>
          </w:rPr>
          <w:t>Advisory â</w:t>
        </w:r>
        <w:r w:rsidRPr="002E29D2">
          <w:rPr>
            <w:rStyle w:val="Hyperlink"/>
            <w:rFonts w:ascii="Andalus" w:hAnsi="Calibri" w:cs="Andalus"/>
          </w:rPr>
          <w:t></w:t>
        </w:r>
        <w:r w:rsidRPr="002E29D2">
          <w:rPr>
            <w:rStyle w:val="Hyperlink"/>
            <w:rFonts w:ascii="Andalus" w:hAnsi="Andalus" w:cs="Andalus"/>
          </w:rPr>
          <w:t xml:space="preserve"> COVID 19 pandemic</w:t>
        </w:r>
      </w:hyperlink>
    </w:p>
    <w:p w:rsidR="00A15B5E" w:rsidRPr="002E29D2" w:rsidRDefault="00A15B5E" w:rsidP="00CB17D2">
      <w:pPr>
        <w:spacing w:after="0" w:line="240" w:lineRule="auto"/>
        <w:rPr>
          <w:rStyle w:val="Hyperlink"/>
          <w:rFonts w:ascii="Andalus" w:hAnsi="Andalus" w:cs="Andalus"/>
          <w:sz w:val="28"/>
          <w:szCs w:val="28"/>
        </w:rPr>
      </w:pPr>
      <w:hyperlink r:id="rId11" w:history="1">
        <w:r w:rsidRPr="002E29D2">
          <w:rPr>
            <w:rStyle w:val="Hyperlink"/>
            <w:rFonts w:ascii="Andalus" w:hAnsi="Andalus" w:cs="Andalus"/>
          </w:rPr>
          <w:t>Advisory-COVID 19 pandemic</w:t>
        </w:r>
      </w:hyperlink>
    </w:p>
    <w:p w:rsidR="00A15B5E" w:rsidRPr="002E29D2" w:rsidRDefault="00A15B5E" w:rsidP="00CB17D2">
      <w:pPr>
        <w:spacing w:after="0" w:line="240" w:lineRule="auto"/>
        <w:rPr>
          <w:rStyle w:val="Hyperlink"/>
          <w:rFonts w:ascii="Andalus" w:hAnsi="Andalus" w:cs="Andalus"/>
          <w:sz w:val="28"/>
          <w:szCs w:val="28"/>
        </w:rPr>
      </w:pPr>
    </w:p>
    <w:p w:rsidR="002B5200" w:rsidRPr="002E29D2" w:rsidRDefault="002B5200" w:rsidP="00CB17D2">
      <w:pPr>
        <w:spacing w:after="0" w:line="240" w:lineRule="auto"/>
        <w:rPr>
          <w:rStyle w:val="Hyperlink"/>
          <w:rFonts w:ascii="Andalus" w:hAnsi="Andalus" w:cs="Andalus"/>
          <w:sz w:val="28"/>
          <w:szCs w:val="28"/>
        </w:rPr>
      </w:pPr>
      <w:r w:rsidRPr="002E29D2">
        <w:rPr>
          <w:rStyle w:val="Hyperlink"/>
          <w:rFonts w:ascii="Andalus" w:hAnsi="Andalus" w:cs="Andalus"/>
          <w:sz w:val="28"/>
          <w:szCs w:val="28"/>
        </w:rPr>
        <w:t>BSE</w:t>
      </w:r>
    </w:p>
    <w:p w:rsidR="00636962" w:rsidRPr="002E29D2" w:rsidRDefault="00636962" w:rsidP="00CB17D2">
      <w:pPr>
        <w:spacing w:after="0" w:line="240" w:lineRule="auto"/>
        <w:rPr>
          <w:rFonts w:ascii="Andalus" w:hAnsi="Andalus" w:cs="Andalus"/>
        </w:rPr>
      </w:pPr>
    </w:p>
    <w:p w:rsidR="002B5200" w:rsidRPr="002E29D2" w:rsidRDefault="00A15B5E" w:rsidP="00CB17D2">
      <w:pPr>
        <w:spacing w:after="0" w:line="240" w:lineRule="auto"/>
        <w:rPr>
          <w:rStyle w:val="Hyperlink"/>
          <w:rFonts w:ascii="Andalus" w:hAnsi="Andalus" w:cs="Andalus"/>
          <w:sz w:val="28"/>
          <w:szCs w:val="28"/>
        </w:rPr>
      </w:pPr>
      <w:hyperlink r:id="rId12" w:history="1">
        <w:r w:rsidRPr="002E29D2">
          <w:rPr>
            <w:rStyle w:val="Hyperlink"/>
            <w:rFonts w:ascii="Andalus" w:hAnsi="Andalus" w:cs="Andalus"/>
          </w:rPr>
          <w:t xml:space="preserve">Graded Surveillance Measure (GSM) - List of securities moving into their respective GSM </w:t>
        </w:r>
        <w:proofErr w:type="spellStart"/>
        <w:r w:rsidRPr="002E29D2">
          <w:rPr>
            <w:rStyle w:val="Hyperlink"/>
            <w:rFonts w:ascii="Andalus" w:hAnsi="Andalus" w:cs="Andalus"/>
          </w:rPr>
          <w:t>Stages</w:t>
        </w:r>
      </w:hyperlink>
      <w:r w:rsidR="002B5200" w:rsidRPr="002E29D2">
        <w:rPr>
          <w:rStyle w:val="Hyperlink"/>
          <w:rFonts w:ascii="Andalus" w:hAnsi="Andalus" w:cs="Andalus"/>
          <w:sz w:val="28"/>
          <w:szCs w:val="28"/>
        </w:rPr>
        <w:t>MCX</w:t>
      </w:r>
      <w:proofErr w:type="spellEnd"/>
    </w:p>
    <w:p w:rsidR="007B4F5F" w:rsidRPr="002E29D2" w:rsidRDefault="00A15B5E" w:rsidP="00CB17D2">
      <w:pPr>
        <w:spacing w:after="0" w:line="240" w:lineRule="auto"/>
        <w:rPr>
          <w:rFonts w:ascii="Andalus" w:hAnsi="Andalus" w:cs="Andalus"/>
        </w:rPr>
      </w:pPr>
      <w:hyperlink r:id="rId13" w:history="1">
        <w:r w:rsidRPr="002E29D2">
          <w:rPr>
            <w:rStyle w:val="Hyperlink"/>
            <w:rFonts w:ascii="Andalus" w:hAnsi="Andalus" w:cs="Andalus"/>
          </w:rPr>
          <w:t>Applicability of Additional Surveillance Measure</w:t>
        </w:r>
      </w:hyperlink>
    </w:p>
    <w:p w:rsidR="00A15B5E" w:rsidRPr="002E29D2" w:rsidRDefault="00A15B5E" w:rsidP="00CB17D2">
      <w:pPr>
        <w:spacing w:after="0" w:line="240" w:lineRule="auto"/>
        <w:rPr>
          <w:rFonts w:ascii="Andalus" w:hAnsi="Andalus" w:cs="Andalus"/>
        </w:rPr>
      </w:pPr>
      <w:hyperlink r:id="rId14" w:history="1">
        <w:r w:rsidRPr="002E29D2">
          <w:rPr>
            <w:rStyle w:val="Hyperlink"/>
            <w:rFonts w:ascii="Andalus" w:hAnsi="Andalus" w:cs="Andalus"/>
          </w:rPr>
          <w:t>Applicability of Short Term Additional Surveillance Measure (ST-ASM)</w:t>
        </w:r>
      </w:hyperlink>
    </w:p>
    <w:p w:rsidR="00A15B5E" w:rsidRPr="002E29D2" w:rsidRDefault="00A15B5E" w:rsidP="00CB17D2">
      <w:pPr>
        <w:spacing w:after="0" w:line="240" w:lineRule="auto"/>
        <w:rPr>
          <w:rFonts w:ascii="Andalus" w:hAnsi="Andalus" w:cs="Andalus"/>
        </w:rPr>
      </w:pPr>
      <w:hyperlink r:id="rId15" w:history="1">
        <w:r w:rsidRPr="002E29D2">
          <w:rPr>
            <w:rStyle w:val="Hyperlink"/>
            <w:rFonts w:ascii="Andalus" w:hAnsi="Andalus" w:cs="Andalus"/>
          </w:rPr>
          <w:t>CHANGE IN CIRCUIT FILTER</w:t>
        </w:r>
      </w:hyperlink>
      <w:r w:rsidRPr="002E29D2">
        <w:rPr>
          <w:rFonts w:ascii="Andalus" w:hAnsi="Andalus" w:cs="Andalus"/>
        </w:rPr>
        <w:tab/>
      </w:r>
    </w:p>
    <w:p w:rsidR="00A15B5E" w:rsidRPr="002E29D2" w:rsidRDefault="00A15B5E" w:rsidP="00CB17D2">
      <w:pPr>
        <w:spacing w:after="0" w:line="240" w:lineRule="auto"/>
        <w:rPr>
          <w:rStyle w:val="Hyperlink"/>
          <w:rFonts w:ascii="Andalus" w:hAnsi="Andalus" w:cs="Andalus"/>
        </w:rPr>
      </w:pPr>
      <w:hyperlink r:id="rId16" w:history="1">
        <w:r w:rsidRPr="002E29D2">
          <w:rPr>
            <w:rStyle w:val="Hyperlink"/>
            <w:rFonts w:ascii="Andalus" w:hAnsi="Andalus" w:cs="Andalus"/>
          </w:rPr>
          <w:t xml:space="preserve">Non Business Day for certain schemes of HSBC Mutual Fund on BSE </w:t>
        </w:r>
        <w:proofErr w:type="spellStart"/>
        <w:r w:rsidRPr="002E29D2">
          <w:rPr>
            <w:rStyle w:val="Hyperlink"/>
            <w:rFonts w:ascii="Andalus" w:hAnsi="Andalus" w:cs="Andalus"/>
          </w:rPr>
          <w:t>StAR</w:t>
        </w:r>
        <w:proofErr w:type="spellEnd"/>
        <w:r w:rsidRPr="002E29D2">
          <w:rPr>
            <w:rStyle w:val="Hyperlink"/>
            <w:rFonts w:ascii="Andalus" w:hAnsi="Andalus" w:cs="Andalus"/>
          </w:rPr>
          <w:t xml:space="preserve"> MF Platform</w:t>
        </w:r>
      </w:hyperlink>
    </w:p>
    <w:p w:rsidR="00A15B5E" w:rsidRPr="002E29D2" w:rsidRDefault="00A15B5E" w:rsidP="00CB17D2">
      <w:pPr>
        <w:spacing w:after="0" w:line="240" w:lineRule="auto"/>
        <w:rPr>
          <w:rStyle w:val="Hyperlink"/>
          <w:rFonts w:ascii="Andalus" w:hAnsi="Andalus" w:cs="Andalus"/>
          <w:sz w:val="32"/>
          <w:szCs w:val="32"/>
        </w:rPr>
      </w:pPr>
      <w:hyperlink r:id="rId17" w:history="1">
        <w:r w:rsidRPr="002E29D2">
          <w:rPr>
            <w:rStyle w:val="Hyperlink"/>
            <w:rFonts w:ascii="Andalus" w:hAnsi="Andalus" w:cs="Andalus"/>
          </w:rPr>
          <w:t>Daily Bulletin</w:t>
        </w:r>
      </w:hyperlink>
    </w:p>
    <w:p w:rsidR="00A15B5E" w:rsidRPr="002E29D2" w:rsidRDefault="00A15B5E" w:rsidP="00CB17D2">
      <w:pPr>
        <w:spacing w:after="0" w:line="240" w:lineRule="auto"/>
        <w:rPr>
          <w:rFonts w:ascii="Andalus" w:hAnsi="Andalus" w:cs="Andalus"/>
        </w:rPr>
      </w:pPr>
      <w:hyperlink r:id="rId18" w:history="1">
        <w:r w:rsidRPr="002E29D2">
          <w:rPr>
            <w:rStyle w:val="Hyperlink"/>
            <w:rFonts w:ascii="Andalus" w:hAnsi="Andalus" w:cs="Andalus"/>
          </w:rPr>
          <w:t>Reconstitution of S&amp;P BSE Indices</w:t>
        </w:r>
      </w:hyperlink>
    </w:p>
    <w:p w:rsidR="00A15B5E" w:rsidRPr="002E29D2" w:rsidRDefault="00A15B5E" w:rsidP="00CB17D2">
      <w:pPr>
        <w:spacing w:after="0" w:line="240" w:lineRule="auto"/>
        <w:rPr>
          <w:rFonts w:ascii="Andalus" w:hAnsi="Andalus" w:cs="Andalus"/>
        </w:rPr>
      </w:pPr>
      <w:hyperlink r:id="rId19" w:history="1">
        <w:r w:rsidRPr="002E29D2">
          <w:rPr>
            <w:rStyle w:val="Hyperlink"/>
            <w:rFonts w:ascii="Andalus" w:hAnsi="Andalus" w:cs="Andalus"/>
          </w:rPr>
          <w:t>Graded Surveillance Measure (GSM) - List of securities moving into their respective GSM Stages</w:t>
        </w:r>
      </w:hyperlink>
    </w:p>
    <w:p w:rsidR="00A15B5E" w:rsidRPr="002E29D2" w:rsidRDefault="00A15B5E" w:rsidP="00CB17D2">
      <w:pPr>
        <w:spacing w:after="0" w:line="240" w:lineRule="auto"/>
        <w:rPr>
          <w:rFonts w:ascii="Andalus" w:hAnsi="Andalus" w:cs="Andalus"/>
        </w:rPr>
      </w:pPr>
      <w:hyperlink r:id="rId20" w:history="1">
        <w:r w:rsidRPr="002E29D2">
          <w:rPr>
            <w:rStyle w:val="Hyperlink"/>
            <w:rFonts w:ascii="Andalus" w:hAnsi="Andalus" w:cs="Andalus"/>
          </w:rPr>
          <w:t>Applicability of Short Term Additional Surveillance Measure (ST-ASM)</w:t>
        </w:r>
      </w:hyperlink>
    </w:p>
    <w:p w:rsidR="00A15B5E" w:rsidRPr="002E29D2" w:rsidRDefault="00A15B5E" w:rsidP="00CB17D2">
      <w:pPr>
        <w:spacing w:after="0" w:line="240" w:lineRule="auto"/>
        <w:rPr>
          <w:rFonts w:ascii="Andalus" w:hAnsi="Andalus" w:cs="Andalus"/>
        </w:rPr>
      </w:pPr>
      <w:hyperlink r:id="rId21" w:history="1">
        <w:r w:rsidRPr="002E29D2">
          <w:rPr>
            <w:rStyle w:val="Hyperlink"/>
            <w:rFonts w:ascii="Andalus" w:hAnsi="Andalus" w:cs="Andalus"/>
          </w:rPr>
          <w:t>Graded Surveillance Measure (GSM) - Lower Revision of Stages</w:t>
        </w:r>
      </w:hyperlink>
    </w:p>
    <w:p w:rsidR="00A15B5E" w:rsidRPr="002E29D2" w:rsidRDefault="00A15B5E" w:rsidP="00CB17D2">
      <w:pPr>
        <w:spacing w:after="0" w:line="240" w:lineRule="auto"/>
        <w:rPr>
          <w:rFonts w:ascii="Andalus" w:hAnsi="Andalus" w:cs="Andalus"/>
        </w:rPr>
      </w:pPr>
      <w:hyperlink r:id="rId22" w:history="1">
        <w:r w:rsidRPr="002E29D2">
          <w:rPr>
            <w:rStyle w:val="Hyperlink"/>
            <w:rFonts w:ascii="Andalus" w:hAnsi="Andalus" w:cs="Andalus"/>
          </w:rPr>
          <w:t>CHANGE IN CIRCUIT FILTER</w:t>
        </w:r>
      </w:hyperlink>
    </w:p>
    <w:p w:rsidR="00A15B5E" w:rsidRPr="002E29D2" w:rsidRDefault="00A15B5E" w:rsidP="00CB17D2">
      <w:pPr>
        <w:spacing w:after="0" w:line="240" w:lineRule="auto"/>
        <w:rPr>
          <w:rFonts w:ascii="Andalus" w:hAnsi="Andalus" w:cs="Andalus"/>
        </w:rPr>
      </w:pPr>
      <w:hyperlink r:id="rId23" w:history="1">
        <w:r w:rsidRPr="002E29D2">
          <w:rPr>
            <w:rStyle w:val="Hyperlink"/>
            <w:rFonts w:ascii="Andalus" w:hAnsi="Andalus" w:cs="Andalus"/>
          </w:rPr>
          <w:t>Clarifications received from the companies</w:t>
        </w:r>
      </w:hyperlink>
    </w:p>
    <w:p w:rsidR="00A15B5E" w:rsidRPr="002E29D2" w:rsidRDefault="00A15B5E" w:rsidP="00CB17D2">
      <w:pPr>
        <w:spacing w:after="0" w:line="240" w:lineRule="auto"/>
        <w:rPr>
          <w:rFonts w:ascii="Andalus" w:hAnsi="Andalus" w:cs="Andalus"/>
        </w:rPr>
      </w:pPr>
      <w:hyperlink r:id="rId24" w:history="1">
        <w:r w:rsidRPr="002E29D2">
          <w:rPr>
            <w:rStyle w:val="Hyperlink"/>
            <w:rFonts w:ascii="Andalus" w:hAnsi="Andalus" w:cs="Andalus"/>
          </w:rPr>
          <w:t>Applicability of Additional Surveillance Measure</w:t>
        </w:r>
      </w:hyperlink>
    </w:p>
    <w:p w:rsidR="00A15B5E" w:rsidRPr="002E29D2" w:rsidRDefault="00A15B5E" w:rsidP="00CB17D2">
      <w:pPr>
        <w:spacing w:after="0" w:line="240" w:lineRule="auto"/>
        <w:rPr>
          <w:rFonts w:ascii="Andalus" w:hAnsi="Andalus" w:cs="Andalus"/>
        </w:rPr>
      </w:pPr>
      <w:hyperlink r:id="rId25" w:history="1">
        <w:r w:rsidRPr="002E29D2">
          <w:rPr>
            <w:rStyle w:val="Hyperlink"/>
            <w:rFonts w:ascii="Andalus" w:hAnsi="Andalus" w:cs="Andalus"/>
          </w:rPr>
          <w:t>Exclusion of Futures and Options contracts of S&amp;P BSE BANKEX from Equity Derivatives Segment</w:t>
        </w:r>
      </w:hyperlink>
    </w:p>
    <w:p w:rsidR="00A15B5E" w:rsidRPr="002E29D2" w:rsidRDefault="00A15B5E" w:rsidP="00CB17D2">
      <w:pPr>
        <w:spacing w:after="0" w:line="240" w:lineRule="auto"/>
        <w:rPr>
          <w:rFonts w:ascii="Andalus" w:hAnsi="Andalus" w:cs="Andalus"/>
        </w:rPr>
      </w:pPr>
      <w:hyperlink r:id="rId26" w:history="1">
        <w:r w:rsidRPr="002E29D2">
          <w:rPr>
            <w:rStyle w:val="Hyperlink"/>
            <w:rFonts w:ascii="Andalus" w:hAnsi="Andalus" w:cs="Andalus"/>
          </w:rPr>
          <w:t>Enhanced supervision: Monitoring of Clients’ Funds lying with the Stock Broker for the week ended May 8, 2020</w:t>
        </w:r>
      </w:hyperlink>
    </w:p>
    <w:p w:rsidR="00A15B5E" w:rsidRPr="002E29D2" w:rsidRDefault="00A15B5E" w:rsidP="00CB17D2">
      <w:pPr>
        <w:spacing w:after="0" w:line="240" w:lineRule="auto"/>
        <w:rPr>
          <w:rFonts w:ascii="Andalus" w:hAnsi="Andalus" w:cs="Andalus"/>
        </w:rPr>
      </w:pPr>
      <w:hyperlink r:id="rId27" w:history="1">
        <w:r w:rsidRPr="002E29D2">
          <w:rPr>
            <w:rStyle w:val="Hyperlink"/>
            <w:rFonts w:ascii="Andalus" w:hAnsi="Andalus" w:cs="Andalus"/>
          </w:rPr>
          <w:t>Weekly Submission of Holding Statement</w:t>
        </w:r>
      </w:hyperlink>
    </w:p>
    <w:p w:rsidR="00A15B5E" w:rsidRPr="002E29D2" w:rsidRDefault="00A15B5E" w:rsidP="00CB17D2">
      <w:pPr>
        <w:spacing w:after="0" w:line="240" w:lineRule="auto"/>
        <w:rPr>
          <w:rFonts w:ascii="Andalus" w:hAnsi="Andalus" w:cs="Andalus"/>
        </w:rPr>
      </w:pPr>
      <w:hyperlink r:id="rId28" w:history="1">
        <w:r w:rsidRPr="002E29D2">
          <w:rPr>
            <w:rStyle w:val="Hyperlink"/>
            <w:rFonts w:ascii="Andalus" w:hAnsi="Andalus" w:cs="Andalus"/>
          </w:rPr>
          <w:t>Guidelines for Online Bidding platform for Sovereign Gold Bond 2020-21: Series II</w:t>
        </w:r>
      </w:hyperlink>
    </w:p>
    <w:p w:rsidR="00A15B5E" w:rsidRPr="002E29D2" w:rsidRDefault="00A15B5E" w:rsidP="00CB17D2">
      <w:pPr>
        <w:spacing w:after="0" w:line="240" w:lineRule="auto"/>
        <w:rPr>
          <w:rStyle w:val="Hyperlink"/>
          <w:rFonts w:ascii="Andalus" w:hAnsi="Andalus" w:cs="Andalus"/>
          <w:sz w:val="32"/>
          <w:szCs w:val="32"/>
        </w:rPr>
      </w:pPr>
      <w:hyperlink r:id="rId29" w:history="1">
        <w:r w:rsidRPr="002E29D2">
          <w:rPr>
            <w:rStyle w:val="Hyperlink"/>
            <w:rFonts w:ascii="Andalus" w:hAnsi="Andalus" w:cs="Andalus"/>
          </w:rPr>
          <w:t>Settlement Calendar for Sovereign Gold Bond Scheme 2020-21 – Series 2</w:t>
        </w:r>
      </w:hyperlink>
    </w:p>
    <w:p w:rsidR="005F6CEB" w:rsidRDefault="005F6CEB" w:rsidP="00CB17D2">
      <w:pPr>
        <w:spacing w:after="0" w:line="240" w:lineRule="auto"/>
        <w:rPr>
          <w:rStyle w:val="Hyperlink"/>
          <w:rFonts w:ascii="Andalus" w:hAnsi="Andalus" w:cs="Andalus"/>
          <w:sz w:val="32"/>
          <w:szCs w:val="32"/>
        </w:rPr>
      </w:pPr>
    </w:p>
    <w:p w:rsidR="00A15B5E" w:rsidRPr="002E29D2" w:rsidRDefault="00130967" w:rsidP="00CB17D2">
      <w:pPr>
        <w:spacing w:after="0" w:line="240" w:lineRule="auto"/>
        <w:rPr>
          <w:rStyle w:val="Hyperlink"/>
          <w:rFonts w:ascii="Andalus" w:hAnsi="Andalus" w:cs="Andalus"/>
          <w:sz w:val="32"/>
          <w:szCs w:val="32"/>
        </w:rPr>
      </w:pPr>
      <w:r w:rsidRPr="002E29D2">
        <w:rPr>
          <w:rStyle w:val="Hyperlink"/>
          <w:rFonts w:ascii="Andalus" w:hAnsi="Andalus" w:cs="Andalus"/>
          <w:sz w:val="32"/>
          <w:szCs w:val="32"/>
        </w:rPr>
        <w:t>MCX</w:t>
      </w:r>
    </w:p>
    <w:p w:rsidR="00130967" w:rsidRPr="002E29D2" w:rsidRDefault="00130967" w:rsidP="00CB17D2">
      <w:pPr>
        <w:spacing w:after="0" w:line="240" w:lineRule="auto"/>
        <w:rPr>
          <w:rFonts w:ascii="Andalus" w:hAnsi="Andalus" w:cs="Andalus"/>
        </w:rPr>
      </w:pPr>
    </w:p>
    <w:p w:rsidR="00130967" w:rsidRPr="002E29D2" w:rsidRDefault="00130967" w:rsidP="00CB17D2">
      <w:pPr>
        <w:spacing w:after="0" w:line="240" w:lineRule="auto"/>
        <w:rPr>
          <w:rFonts w:ascii="Andalus" w:hAnsi="Andalus" w:cs="Andalus"/>
        </w:rPr>
      </w:pPr>
      <w:hyperlink r:id="rId30" w:history="1">
        <w:r w:rsidRPr="002E29D2">
          <w:rPr>
            <w:rStyle w:val="Hyperlink"/>
            <w:rFonts w:ascii="Andalus" w:hAnsi="Andalus" w:cs="Andalus"/>
          </w:rPr>
          <w:t>Cancellation of Monthly Mock scheduled on May 09, 2020</w:t>
        </w:r>
      </w:hyperlink>
    </w:p>
    <w:p w:rsidR="00130967" w:rsidRPr="002E29D2" w:rsidRDefault="00130967" w:rsidP="00CB17D2">
      <w:pPr>
        <w:spacing w:after="0" w:line="240" w:lineRule="auto"/>
        <w:rPr>
          <w:rFonts w:ascii="Andalus" w:hAnsi="Andalus" w:cs="Andalus"/>
        </w:rPr>
      </w:pPr>
      <w:hyperlink r:id="rId31" w:history="1">
        <w:r w:rsidRPr="002E29D2">
          <w:rPr>
            <w:rStyle w:val="Hyperlink"/>
            <w:rFonts w:ascii="Andalus" w:hAnsi="Andalus" w:cs="Andalus"/>
          </w:rPr>
          <w:t>Additional Auction window</w:t>
        </w:r>
      </w:hyperlink>
    </w:p>
    <w:p w:rsidR="00130967" w:rsidRPr="002E29D2" w:rsidRDefault="00130967" w:rsidP="00CB17D2">
      <w:pPr>
        <w:spacing w:after="0" w:line="240" w:lineRule="auto"/>
        <w:rPr>
          <w:rStyle w:val="Hyperlink"/>
          <w:rFonts w:ascii="Andalus" w:hAnsi="Andalus" w:cs="Andalus"/>
          <w:sz w:val="32"/>
          <w:szCs w:val="32"/>
        </w:rPr>
      </w:pPr>
    </w:p>
    <w:p w:rsidR="00F449BA" w:rsidRPr="002E29D2" w:rsidRDefault="00F449BA" w:rsidP="00CB17D2">
      <w:pPr>
        <w:spacing w:after="0" w:line="240" w:lineRule="auto"/>
        <w:rPr>
          <w:rStyle w:val="Hyperlink"/>
          <w:rFonts w:ascii="Andalus" w:hAnsi="Andalus" w:cs="Andalus"/>
          <w:sz w:val="32"/>
          <w:szCs w:val="32"/>
        </w:rPr>
      </w:pPr>
      <w:r w:rsidRPr="002E29D2">
        <w:rPr>
          <w:rStyle w:val="Hyperlink"/>
          <w:rFonts w:ascii="Andalus" w:hAnsi="Andalus" w:cs="Andalus"/>
          <w:sz w:val="32"/>
          <w:szCs w:val="32"/>
        </w:rPr>
        <w:t>ICEX</w:t>
      </w:r>
    </w:p>
    <w:p w:rsidR="00130967" w:rsidRPr="002E29D2" w:rsidRDefault="00130967" w:rsidP="00691633">
      <w:pPr>
        <w:spacing w:after="0" w:line="240" w:lineRule="auto"/>
        <w:rPr>
          <w:rStyle w:val="Hyperlink"/>
          <w:rFonts w:ascii="Andalus" w:hAnsi="Andalus" w:cs="Andalus"/>
        </w:rPr>
      </w:pPr>
      <w:hyperlink r:id="rId32" w:history="1">
        <w:r w:rsidRPr="002E29D2">
          <w:rPr>
            <w:rStyle w:val="Hyperlink"/>
            <w:rFonts w:ascii="Andalus" w:hAnsi="Andalus" w:cs="Andalus"/>
          </w:rPr>
          <w:t>INTRODUCTION OF INVESCO MUTUAL FUND ON ICEXMF PLATFORM</w:t>
        </w:r>
      </w:hyperlink>
    </w:p>
    <w:p w:rsidR="00130967" w:rsidRPr="002E29D2" w:rsidRDefault="00130967" w:rsidP="00691633">
      <w:pPr>
        <w:spacing w:after="0" w:line="240" w:lineRule="auto"/>
        <w:rPr>
          <w:rStyle w:val="Hyperlink"/>
          <w:rFonts w:ascii="Andalus" w:hAnsi="Andalus" w:cs="Andalus"/>
          <w:sz w:val="28"/>
          <w:szCs w:val="28"/>
        </w:rPr>
      </w:pPr>
    </w:p>
    <w:p w:rsidR="002E29D2" w:rsidRDefault="002B5200" w:rsidP="00CB17D2">
      <w:pPr>
        <w:spacing w:after="0" w:line="240" w:lineRule="auto"/>
        <w:rPr>
          <w:rStyle w:val="Hyperlink"/>
          <w:rFonts w:ascii="Andalus" w:hAnsi="Andalus" w:cs="Andalus"/>
        </w:rPr>
      </w:pPr>
      <w:r w:rsidRPr="002E29D2">
        <w:rPr>
          <w:rStyle w:val="Hyperlink"/>
          <w:rFonts w:ascii="Andalus" w:hAnsi="Andalus" w:cs="Andalus"/>
          <w:sz w:val="28"/>
          <w:szCs w:val="28"/>
        </w:rPr>
        <w:t>NCDEX</w:t>
      </w:r>
      <w:r w:rsidR="00AF1CE1" w:rsidRPr="002E29D2">
        <w:rPr>
          <w:rStyle w:val="Hyperlink"/>
          <w:rFonts w:ascii="Andalus" w:hAnsi="Andalus" w:cs="Andalus"/>
          <w:sz w:val="28"/>
          <w:szCs w:val="28"/>
        </w:rPr>
        <w:t xml:space="preserve"> </w:t>
      </w:r>
      <w:r w:rsidR="00BA548C" w:rsidRPr="002E29D2">
        <w:rPr>
          <w:rFonts w:ascii="Andalus" w:eastAsia="Times New Roman" w:hAnsi="Andalus" w:cs="Andalus"/>
          <w:color w:val="000000"/>
          <w:sz w:val="17"/>
          <w:szCs w:val="17"/>
        </w:rPr>
        <w:br/>
      </w:r>
    </w:p>
    <w:p w:rsidR="00231A06" w:rsidRPr="002E29D2" w:rsidRDefault="00130967" w:rsidP="00CB17D2">
      <w:pPr>
        <w:spacing w:after="0" w:line="240" w:lineRule="auto"/>
        <w:rPr>
          <w:rStyle w:val="Hyperlink"/>
          <w:rFonts w:ascii="Andalus" w:hAnsi="Andalus" w:cs="Andalus"/>
        </w:rPr>
      </w:pPr>
      <w:hyperlink r:id="rId33" w:history="1">
        <w:r w:rsidRPr="002E29D2">
          <w:rPr>
            <w:rStyle w:val="Hyperlink"/>
            <w:rFonts w:ascii="Andalus" w:hAnsi="Andalus" w:cs="Andalus"/>
          </w:rPr>
          <w:t>General advisory on due diligence and risk management</w:t>
        </w:r>
      </w:hyperlink>
    </w:p>
    <w:p w:rsidR="00130967" w:rsidRPr="002E29D2" w:rsidRDefault="00130967" w:rsidP="00CB17D2">
      <w:pPr>
        <w:spacing w:after="0" w:line="240" w:lineRule="auto"/>
        <w:rPr>
          <w:rStyle w:val="Hyperlink"/>
          <w:rFonts w:ascii="Andalus" w:hAnsi="Andalus" w:cs="Andalus"/>
        </w:rPr>
      </w:pPr>
      <w:hyperlink r:id="rId34" w:history="1">
        <w:r w:rsidRPr="002E29D2">
          <w:rPr>
            <w:rStyle w:val="Hyperlink"/>
            <w:rFonts w:ascii="Andalus" w:hAnsi="Andalus" w:cs="Andalus"/>
          </w:rPr>
          <w:t>User Certification for commodity brokers</w:t>
        </w:r>
      </w:hyperlink>
    </w:p>
    <w:p w:rsidR="002E29D2" w:rsidRDefault="002E29D2" w:rsidP="00CB17D2">
      <w:pPr>
        <w:spacing w:after="0" w:line="240" w:lineRule="auto"/>
        <w:rPr>
          <w:rStyle w:val="Hyperlink"/>
          <w:rFonts w:ascii="Andalus" w:hAnsi="Andalus" w:cs="Andalus"/>
          <w:sz w:val="32"/>
          <w:szCs w:val="32"/>
        </w:rPr>
      </w:pPr>
    </w:p>
    <w:p w:rsidR="00B1797B" w:rsidRPr="002E29D2" w:rsidRDefault="00B1797B" w:rsidP="00CB17D2">
      <w:pPr>
        <w:spacing w:after="0" w:line="240" w:lineRule="auto"/>
        <w:rPr>
          <w:rStyle w:val="Hyperlink"/>
          <w:rFonts w:ascii="Andalus" w:hAnsi="Andalus" w:cs="Andalus"/>
          <w:sz w:val="32"/>
          <w:szCs w:val="32"/>
          <w:u w:val="none"/>
        </w:rPr>
      </w:pPr>
      <w:r w:rsidRPr="002E29D2">
        <w:rPr>
          <w:rStyle w:val="Hyperlink"/>
          <w:rFonts w:ascii="Andalus" w:hAnsi="Andalus" w:cs="Andalus"/>
          <w:sz w:val="32"/>
          <w:szCs w:val="32"/>
        </w:rPr>
        <w:t>NSDL</w:t>
      </w:r>
      <w:r w:rsidR="00037708" w:rsidRPr="002E29D2">
        <w:rPr>
          <w:rStyle w:val="Hyperlink"/>
          <w:rFonts w:ascii="Andalus" w:hAnsi="Andalus" w:cs="Andalus"/>
          <w:sz w:val="32"/>
          <w:szCs w:val="32"/>
        </w:rPr>
        <w:t xml:space="preserve"> </w:t>
      </w:r>
      <w:r w:rsidR="006B6433" w:rsidRPr="002E29D2">
        <w:rPr>
          <w:rStyle w:val="Hyperlink"/>
          <w:rFonts w:ascii="Andalus" w:hAnsi="Andalus" w:cs="Andalus"/>
          <w:sz w:val="32"/>
          <w:szCs w:val="32"/>
          <w:u w:val="none"/>
        </w:rPr>
        <w:t xml:space="preserve">  </w:t>
      </w:r>
    </w:p>
    <w:p w:rsidR="002141D8" w:rsidRPr="002E29D2" w:rsidRDefault="002141D8" w:rsidP="00CB17D2">
      <w:pPr>
        <w:spacing w:after="0" w:line="240" w:lineRule="auto"/>
        <w:rPr>
          <w:rFonts w:ascii="Andalus" w:hAnsi="Andalus" w:cs="Andalus"/>
        </w:rPr>
      </w:pPr>
    </w:p>
    <w:p w:rsidR="00B5692A" w:rsidRPr="002E29D2" w:rsidRDefault="00130967" w:rsidP="00CB17D2">
      <w:pPr>
        <w:spacing w:after="0" w:line="240" w:lineRule="auto"/>
        <w:rPr>
          <w:rFonts w:ascii="Andalus" w:hAnsi="Andalus" w:cs="Andalus"/>
        </w:rPr>
      </w:pPr>
      <w:hyperlink r:id="rId35" w:history="1">
        <w:r w:rsidRPr="002E29D2">
          <w:rPr>
            <w:rStyle w:val="Hyperlink"/>
            <w:rFonts w:ascii="Andalus" w:hAnsi="Andalus" w:cs="Andalus"/>
          </w:rPr>
          <w:t>2020-0062-Policy-Relaxation in timelines for Concurrent Audit of depository operations</w:t>
        </w:r>
      </w:hyperlink>
    </w:p>
    <w:p w:rsidR="00130967" w:rsidRPr="002E29D2" w:rsidRDefault="00130967" w:rsidP="00CB17D2">
      <w:pPr>
        <w:spacing w:after="0" w:line="240" w:lineRule="auto"/>
        <w:rPr>
          <w:rFonts w:ascii="Andalus" w:hAnsi="Andalus" w:cs="Andalus"/>
        </w:rPr>
      </w:pPr>
      <w:hyperlink r:id="rId36" w:history="1">
        <w:r w:rsidRPr="002E29D2">
          <w:rPr>
            <w:rStyle w:val="Hyperlink"/>
            <w:rFonts w:ascii="Andalus" w:hAnsi="Andalus" w:cs="Andalus"/>
          </w:rPr>
          <w:t>2020-0064-Policy-Change in Pay-in &amp; Pay-out time for NSE, BSE and MSE settlements</w:t>
        </w:r>
      </w:hyperlink>
    </w:p>
    <w:p w:rsidR="00130967" w:rsidRPr="002E29D2" w:rsidRDefault="00130967" w:rsidP="00CB17D2">
      <w:pPr>
        <w:spacing w:after="0" w:line="240" w:lineRule="auto"/>
        <w:rPr>
          <w:rFonts w:ascii="Andalus" w:hAnsi="Andalus" w:cs="Andalus"/>
        </w:rPr>
      </w:pPr>
      <w:hyperlink r:id="rId37" w:history="1">
        <w:r w:rsidRPr="002E29D2">
          <w:rPr>
            <w:rStyle w:val="Hyperlink"/>
            <w:rFonts w:ascii="Andalus" w:hAnsi="Andalus" w:cs="Andalus"/>
          </w:rPr>
          <w:t>2020-0063-Policy-SEBI Orders issued under Section 11B of the Securities and Exchange Board of India Act, 1992</w:t>
        </w:r>
      </w:hyperlink>
    </w:p>
    <w:p w:rsidR="00130967" w:rsidRPr="002E29D2" w:rsidRDefault="00130967" w:rsidP="00CB17D2">
      <w:pPr>
        <w:spacing w:after="0" w:line="240" w:lineRule="auto"/>
        <w:rPr>
          <w:rFonts w:ascii="Andalus" w:hAnsi="Andalus" w:cs="Andalus"/>
        </w:rPr>
      </w:pPr>
      <w:hyperlink r:id="rId38" w:history="1">
        <w:r w:rsidRPr="002E29D2">
          <w:rPr>
            <w:rStyle w:val="Hyperlink"/>
            <w:rFonts w:ascii="Andalus" w:hAnsi="Andalus" w:cs="Andalus"/>
          </w:rPr>
          <w:t>2020-0063-Policy-SEBI Orders dated March 6, 2020</w:t>
        </w:r>
      </w:hyperlink>
    </w:p>
    <w:p w:rsidR="00130967" w:rsidRPr="002E29D2" w:rsidRDefault="00130967" w:rsidP="00CB17D2">
      <w:pPr>
        <w:spacing w:after="0" w:line="240" w:lineRule="auto"/>
        <w:rPr>
          <w:rFonts w:ascii="Andalus" w:hAnsi="Andalus" w:cs="Andalus"/>
        </w:rPr>
      </w:pPr>
      <w:hyperlink r:id="rId39" w:history="1">
        <w:r w:rsidRPr="002E29D2">
          <w:rPr>
            <w:rStyle w:val="Hyperlink"/>
            <w:rFonts w:ascii="Andalus" w:hAnsi="Andalus" w:cs="Andalus"/>
          </w:rPr>
          <w:t>2020-0063-Policy-SEBI Orders dated April 13, 2020</w:t>
        </w:r>
      </w:hyperlink>
    </w:p>
    <w:p w:rsidR="00130967" w:rsidRPr="002E29D2" w:rsidRDefault="00130967" w:rsidP="00CB17D2">
      <w:pPr>
        <w:spacing w:after="0" w:line="240" w:lineRule="auto"/>
        <w:rPr>
          <w:rFonts w:ascii="Andalus" w:hAnsi="Andalus" w:cs="Andalus"/>
        </w:rPr>
      </w:pPr>
      <w:hyperlink r:id="rId40" w:history="1">
        <w:r w:rsidRPr="002E29D2">
          <w:rPr>
            <w:rStyle w:val="Hyperlink"/>
            <w:rFonts w:ascii="Andalus" w:hAnsi="Andalus" w:cs="Andalus"/>
          </w:rPr>
          <w:t>2020-0012-SPEED -e-Policy-Reduction of cut-off timing for redemption in various mutual fund schemes extended till further notice</w:t>
        </w:r>
      </w:hyperlink>
    </w:p>
    <w:p w:rsidR="00130967" w:rsidRPr="002E29D2" w:rsidRDefault="00130967" w:rsidP="00CB17D2">
      <w:pPr>
        <w:spacing w:after="0" w:line="240" w:lineRule="auto"/>
        <w:rPr>
          <w:rFonts w:ascii="Andalus" w:hAnsi="Andalus" w:cs="Andalus"/>
        </w:rPr>
      </w:pPr>
      <w:hyperlink r:id="rId41" w:history="1">
        <w:r w:rsidRPr="002E29D2">
          <w:rPr>
            <w:rStyle w:val="Hyperlink"/>
            <w:rFonts w:ascii="Andalus" w:hAnsi="Andalus" w:cs="Andalus"/>
          </w:rPr>
          <w:t>2020-0065-Policy-FATF public statement dated Feb 21, 2020 and Improving Global AMLCFT Compliance- On-going Process Feb 21, 2020</w:t>
        </w:r>
      </w:hyperlink>
    </w:p>
    <w:p w:rsidR="00130967" w:rsidRPr="002E29D2" w:rsidRDefault="00130967" w:rsidP="00CB17D2">
      <w:pPr>
        <w:spacing w:after="0" w:line="240" w:lineRule="auto"/>
        <w:rPr>
          <w:rStyle w:val="Hyperlink"/>
          <w:rFonts w:ascii="Andalus" w:hAnsi="Andalus" w:cs="Andalus"/>
          <w:sz w:val="32"/>
          <w:szCs w:val="32"/>
        </w:rPr>
      </w:pPr>
    </w:p>
    <w:p w:rsidR="002B5200" w:rsidRPr="002E29D2" w:rsidRDefault="00C236D4" w:rsidP="00CB17D2">
      <w:pPr>
        <w:spacing w:after="0" w:line="240" w:lineRule="auto"/>
        <w:rPr>
          <w:rFonts w:ascii="Andalus" w:hAnsi="Andalus" w:cs="Andalus"/>
          <w:color w:val="0000FF"/>
          <w:sz w:val="32"/>
          <w:szCs w:val="32"/>
        </w:rPr>
      </w:pPr>
      <w:r w:rsidRPr="002E29D2">
        <w:rPr>
          <w:rStyle w:val="Hyperlink"/>
          <w:rFonts w:ascii="Andalus" w:hAnsi="Andalus" w:cs="Andalus"/>
          <w:sz w:val="32"/>
          <w:szCs w:val="32"/>
        </w:rPr>
        <w:t>INDIA INX</w:t>
      </w:r>
    </w:p>
    <w:p w:rsidR="00C236D4" w:rsidRPr="002E29D2" w:rsidRDefault="00C236D4" w:rsidP="00CB17D2">
      <w:pPr>
        <w:spacing w:after="0" w:line="240" w:lineRule="auto"/>
        <w:rPr>
          <w:rStyle w:val="Hyperlink"/>
          <w:rFonts w:ascii="Andalus" w:hAnsi="Andalus" w:cs="Andalus"/>
        </w:rPr>
      </w:pPr>
    </w:p>
    <w:p w:rsidR="00F364DA" w:rsidRPr="002E29D2" w:rsidRDefault="00130967" w:rsidP="00CB17D2">
      <w:pPr>
        <w:spacing w:after="0" w:line="240" w:lineRule="auto"/>
        <w:jc w:val="both"/>
        <w:rPr>
          <w:rFonts w:ascii="Andalus" w:hAnsi="Andalus" w:cs="Andalus"/>
        </w:rPr>
      </w:pPr>
      <w:hyperlink r:id="rId42" w:history="1">
        <w:r w:rsidRPr="002E29D2">
          <w:rPr>
            <w:rStyle w:val="Hyperlink"/>
            <w:rFonts w:ascii="Andalus" w:hAnsi="Andalus" w:cs="Andalus"/>
          </w:rPr>
          <w:t>Clearing &amp; settlement and risk management for INRUSD and USDINR (</w:t>
        </w:r>
        <w:proofErr w:type="spellStart"/>
        <w:r w:rsidRPr="002E29D2">
          <w:rPr>
            <w:rStyle w:val="Hyperlink"/>
            <w:rFonts w:ascii="Andalus" w:hAnsi="Andalus" w:cs="Andalus"/>
          </w:rPr>
          <w:t>Quanto</w:t>
        </w:r>
        <w:proofErr w:type="spellEnd"/>
        <w:r w:rsidRPr="002E29D2">
          <w:rPr>
            <w:rStyle w:val="Hyperlink"/>
            <w:rFonts w:ascii="Andalus" w:hAnsi="Andalus" w:cs="Andalus"/>
          </w:rPr>
          <w:t>) Futures and Options contracts</w:t>
        </w:r>
      </w:hyperlink>
    </w:p>
    <w:p w:rsidR="00130967" w:rsidRPr="002E29D2" w:rsidRDefault="00130967" w:rsidP="00CB17D2">
      <w:pPr>
        <w:spacing w:after="0" w:line="240" w:lineRule="auto"/>
        <w:jc w:val="both"/>
        <w:rPr>
          <w:rFonts w:ascii="Andalus" w:hAnsi="Andalus" w:cs="Andalus"/>
        </w:rPr>
      </w:pPr>
      <w:hyperlink r:id="rId43" w:history="1">
        <w:r w:rsidRPr="002E29D2">
          <w:rPr>
            <w:rStyle w:val="Hyperlink"/>
            <w:rFonts w:ascii="Andalus" w:hAnsi="Andalus" w:cs="Andalus"/>
          </w:rPr>
          <w:t>Cyber Security and Cyber Resilience Audit of Trading Members</w:t>
        </w:r>
      </w:hyperlink>
    </w:p>
    <w:p w:rsidR="00130967" w:rsidRPr="002E29D2" w:rsidRDefault="00130967" w:rsidP="00CB17D2">
      <w:pPr>
        <w:spacing w:after="0" w:line="240" w:lineRule="auto"/>
        <w:jc w:val="both"/>
        <w:rPr>
          <w:rFonts w:ascii="Andalus" w:hAnsi="Andalus" w:cs="Andalus"/>
        </w:rPr>
      </w:pPr>
      <w:hyperlink r:id="rId44" w:history="1">
        <w:r w:rsidRPr="002E29D2">
          <w:rPr>
            <w:rStyle w:val="Hyperlink"/>
            <w:rFonts w:ascii="Andalus" w:hAnsi="Andalus" w:cs="Andalus"/>
          </w:rPr>
          <w:t>Commencement of business by Trading Member - ANAND RATHI INTERNATIONAL VENTURES (IFSC) PRIVATE LIMITED (5064).</w:t>
        </w:r>
      </w:hyperlink>
    </w:p>
    <w:p w:rsidR="00130967" w:rsidRPr="002E29D2" w:rsidRDefault="00130967" w:rsidP="00CB17D2">
      <w:pPr>
        <w:spacing w:after="0" w:line="240" w:lineRule="auto"/>
        <w:jc w:val="both"/>
        <w:rPr>
          <w:rStyle w:val="Hyperlink"/>
          <w:rFonts w:ascii="Andalus" w:hAnsi="Andalus" w:cs="Andalus"/>
          <w:u w:val="none"/>
        </w:rPr>
      </w:pPr>
    </w:p>
    <w:p w:rsidR="002B5200" w:rsidRPr="002E29D2" w:rsidRDefault="002B5200" w:rsidP="00CB17D2">
      <w:pPr>
        <w:spacing w:after="0" w:line="240" w:lineRule="auto"/>
        <w:jc w:val="both"/>
        <w:rPr>
          <w:rStyle w:val="Hyperlink"/>
          <w:rFonts w:ascii="Andalus" w:hAnsi="Andalus" w:cs="Andalus"/>
          <w:u w:val="none"/>
        </w:rPr>
      </w:pPr>
      <w:r w:rsidRPr="002E29D2">
        <w:rPr>
          <w:rStyle w:val="Hyperlink"/>
          <w:rFonts w:ascii="Andalus" w:hAnsi="Andalus" w:cs="Andalus"/>
          <w:u w:val="none"/>
        </w:rPr>
        <w:t>Disclaimer: We will not be responsible for any usage of it or any reproduction or any losses arising out of usage of the extracts of the circulars from various exchanges. All being a</w:t>
      </w:r>
      <w:r w:rsidR="00E54EE7" w:rsidRPr="002E29D2">
        <w:rPr>
          <w:rStyle w:val="Hyperlink"/>
          <w:rFonts w:ascii="Andalus" w:hAnsi="Andalus" w:cs="Andalus"/>
          <w:u w:val="none"/>
        </w:rPr>
        <w:t xml:space="preserve"> compilation done to read it at one place for</w:t>
      </w:r>
      <w:r w:rsidRPr="002E29D2">
        <w:rPr>
          <w:rStyle w:val="Hyperlink"/>
          <w:rFonts w:ascii="Andalus" w:hAnsi="Andalus" w:cs="Andalus"/>
          <w:u w:val="none"/>
        </w:rPr>
        <w:t xml:space="preserve"> details of circulars, all are requested to go to the website of the respective regulators or exchanges which shall be final and we shall not be responsible at any level.</w:t>
      </w:r>
    </w:p>
    <w:sectPr w:rsidR="002B5200" w:rsidRPr="002E29D2" w:rsidSect="00F22F9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3422AF"/>
    <w:rsid w:val="00001CC7"/>
    <w:rsid w:val="00013216"/>
    <w:rsid w:val="000249FA"/>
    <w:rsid w:val="00037708"/>
    <w:rsid w:val="00057F12"/>
    <w:rsid w:val="0008541E"/>
    <w:rsid w:val="000B66C6"/>
    <w:rsid w:val="000F7D05"/>
    <w:rsid w:val="00126ECC"/>
    <w:rsid w:val="00130967"/>
    <w:rsid w:val="00154B69"/>
    <w:rsid w:val="001730A5"/>
    <w:rsid w:val="00186172"/>
    <w:rsid w:val="001A2528"/>
    <w:rsid w:val="001A3200"/>
    <w:rsid w:val="001B1D39"/>
    <w:rsid w:val="001C24A7"/>
    <w:rsid w:val="001D4214"/>
    <w:rsid w:val="001E736B"/>
    <w:rsid w:val="002141D8"/>
    <w:rsid w:val="00230A60"/>
    <w:rsid w:val="00231A06"/>
    <w:rsid w:val="002466CD"/>
    <w:rsid w:val="0025573D"/>
    <w:rsid w:val="002673C7"/>
    <w:rsid w:val="00292AB3"/>
    <w:rsid w:val="002A4A60"/>
    <w:rsid w:val="002A79F3"/>
    <w:rsid w:val="002B5200"/>
    <w:rsid w:val="002B5ADE"/>
    <w:rsid w:val="002C59C7"/>
    <w:rsid w:val="002C743A"/>
    <w:rsid w:val="002D0113"/>
    <w:rsid w:val="002D7A87"/>
    <w:rsid w:val="002E29D2"/>
    <w:rsid w:val="00310868"/>
    <w:rsid w:val="00312C57"/>
    <w:rsid w:val="00333970"/>
    <w:rsid w:val="003422AF"/>
    <w:rsid w:val="00364FCB"/>
    <w:rsid w:val="00377CAE"/>
    <w:rsid w:val="0038334C"/>
    <w:rsid w:val="003D2D17"/>
    <w:rsid w:val="003F628C"/>
    <w:rsid w:val="00403640"/>
    <w:rsid w:val="00426E2E"/>
    <w:rsid w:val="00456B29"/>
    <w:rsid w:val="0047534D"/>
    <w:rsid w:val="00494F89"/>
    <w:rsid w:val="004E6B53"/>
    <w:rsid w:val="004E787F"/>
    <w:rsid w:val="0050023E"/>
    <w:rsid w:val="00515C3B"/>
    <w:rsid w:val="005320DB"/>
    <w:rsid w:val="00550B0B"/>
    <w:rsid w:val="005671AF"/>
    <w:rsid w:val="00576679"/>
    <w:rsid w:val="0058178B"/>
    <w:rsid w:val="00583AC9"/>
    <w:rsid w:val="005B1CAB"/>
    <w:rsid w:val="005D419D"/>
    <w:rsid w:val="005F6CEB"/>
    <w:rsid w:val="00614A60"/>
    <w:rsid w:val="00636962"/>
    <w:rsid w:val="00662F46"/>
    <w:rsid w:val="00691633"/>
    <w:rsid w:val="006B6433"/>
    <w:rsid w:val="0073749C"/>
    <w:rsid w:val="00746D7B"/>
    <w:rsid w:val="0076133D"/>
    <w:rsid w:val="007710DE"/>
    <w:rsid w:val="00775E7D"/>
    <w:rsid w:val="00796FBD"/>
    <w:rsid w:val="007B2598"/>
    <w:rsid w:val="007B4F5F"/>
    <w:rsid w:val="007D6A79"/>
    <w:rsid w:val="007E33E2"/>
    <w:rsid w:val="008145A2"/>
    <w:rsid w:val="00820A5C"/>
    <w:rsid w:val="008323ED"/>
    <w:rsid w:val="0086528B"/>
    <w:rsid w:val="00882E84"/>
    <w:rsid w:val="008C2D88"/>
    <w:rsid w:val="008C7291"/>
    <w:rsid w:val="008D5B32"/>
    <w:rsid w:val="008D7EF1"/>
    <w:rsid w:val="008E77B6"/>
    <w:rsid w:val="008F11A9"/>
    <w:rsid w:val="009178EC"/>
    <w:rsid w:val="00921F6F"/>
    <w:rsid w:val="00976F74"/>
    <w:rsid w:val="009A174A"/>
    <w:rsid w:val="009C256B"/>
    <w:rsid w:val="009C5E2E"/>
    <w:rsid w:val="009D63B4"/>
    <w:rsid w:val="009F5C57"/>
    <w:rsid w:val="00A0033B"/>
    <w:rsid w:val="00A05CD4"/>
    <w:rsid w:val="00A15B5E"/>
    <w:rsid w:val="00A46047"/>
    <w:rsid w:val="00A622CD"/>
    <w:rsid w:val="00A70987"/>
    <w:rsid w:val="00A76DEC"/>
    <w:rsid w:val="00A91E02"/>
    <w:rsid w:val="00AA393F"/>
    <w:rsid w:val="00AB1E26"/>
    <w:rsid w:val="00AE0E2B"/>
    <w:rsid w:val="00AE3BE3"/>
    <w:rsid w:val="00AF1CE1"/>
    <w:rsid w:val="00AF5A7E"/>
    <w:rsid w:val="00B1797B"/>
    <w:rsid w:val="00B5692A"/>
    <w:rsid w:val="00B7150A"/>
    <w:rsid w:val="00B75210"/>
    <w:rsid w:val="00B75859"/>
    <w:rsid w:val="00B7646A"/>
    <w:rsid w:val="00B816E5"/>
    <w:rsid w:val="00B83D19"/>
    <w:rsid w:val="00BA548C"/>
    <w:rsid w:val="00BE063C"/>
    <w:rsid w:val="00BE090F"/>
    <w:rsid w:val="00BE3161"/>
    <w:rsid w:val="00C00851"/>
    <w:rsid w:val="00C06205"/>
    <w:rsid w:val="00C14227"/>
    <w:rsid w:val="00C16641"/>
    <w:rsid w:val="00C236D4"/>
    <w:rsid w:val="00C62FE1"/>
    <w:rsid w:val="00C67B07"/>
    <w:rsid w:val="00C82916"/>
    <w:rsid w:val="00C82BAB"/>
    <w:rsid w:val="00C91410"/>
    <w:rsid w:val="00CA5B63"/>
    <w:rsid w:val="00CB17D2"/>
    <w:rsid w:val="00CB43D8"/>
    <w:rsid w:val="00CB5953"/>
    <w:rsid w:val="00CE1A6C"/>
    <w:rsid w:val="00D0215A"/>
    <w:rsid w:val="00D054F6"/>
    <w:rsid w:val="00D13ABD"/>
    <w:rsid w:val="00D309F0"/>
    <w:rsid w:val="00D374BC"/>
    <w:rsid w:val="00D44E0C"/>
    <w:rsid w:val="00D57C75"/>
    <w:rsid w:val="00D84210"/>
    <w:rsid w:val="00D914E7"/>
    <w:rsid w:val="00DA597B"/>
    <w:rsid w:val="00DB7DAB"/>
    <w:rsid w:val="00DC0D89"/>
    <w:rsid w:val="00E10B4B"/>
    <w:rsid w:val="00E54EE7"/>
    <w:rsid w:val="00E6443E"/>
    <w:rsid w:val="00E72E26"/>
    <w:rsid w:val="00E84667"/>
    <w:rsid w:val="00EA5E8B"/>
    <w:rsid w:val="00EB3669"/>
    <w:rsid w:val="00EC1E63"/>
    <w:rsid w:val="00EC5FF9"/>
    <w:rsid w:val="00EE1744"/>
    <w:rsid w:val="00EE2D7D"/>
    <w:rsid w:val="00EE5368"/>
    <w:rsid w:val="00F14DD5"/>
    <w:rsid w:val="00F1544B"/>
    <w:rsid w:val="00F22F99"/>
    <w:rsid w:val="00F310CA"/>
    <w:rsid w:val="00F364DA"/>
    <w:rsid w:val="00F449BA"/>
    <w:rsid w:val="00F53570"/>
    <w:rsid w:val="00F604C2"/>
    <w:rsid w:val="00F6753E"/>
    <w:rsid w:val="00F73821"/>
    <w:rsid w:val="00F73AB3"/>
    <w:rsid w:val="00F948C4"/>
    <w:rsid w:val="00FC0934"/>
    <w:rsid w:val="00FC6A13"/>
    <w:rsid w:val="00FE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2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2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2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5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nseindia.com/content/circulars/SURV44333.zip" TargetMode="External"/><Relationship Id="rId13" Type="http://schemas.openxmlformats.org/officeDocument/2006/relationships/hyperlink" Target="https://www.bseindia.com/markets/MarketInfo/DispNewNoticesCirculars.aspx?page=20200507-15" TargetMode="External"/><Relationship Id="rId18" Type="http://schemas.openxmlformats.org/officeDocument/2006/relationships/hyperlink" Target="https://www.bseindia.com/markets/MarketInfo/DispNewNoticesCirculars.aspx?page=20200508-9" TargetMode="External"/><Relationship Id="rId26" Type="http://schemas.openxmlformats.org/officeDocument/2006/relationships/hyperlink" Target="https://www.bseindia.com/markets/MarketInfo/DispNewNoticesCirculars.aspx?page=20200508-29" TargetMode="External"/><Relationship Id="rId39" Type="http://schemas.openxmlformats.org/officeDocument/2006/relationships/hyperlink" Target="https://nsdl.co.in/downloadables/pdf/2020-0063-Policy-SEBI%20Orders%20dated%20April%2013,%2020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seindia.com/markets/MarketInfo/DispNewNoticesCirculars.aspx?page=20200508-22" TargetMode="External"/><Relationship Id="rId34" Type="http://schemas.openxmlformats.org/officeDocument/2006/relationships/hyperlink" Target="https://www.ncdex.com/Downloads/Circulars/PDF/User_Certification_for_commodity_brokers_08052020.pdf" TargetMode="External"/><Relationship Id="rId42" Type="http://schemas.openxmlformats.org/officeDocument/2006/relationships/hyperlink" Target="https://www.indiainx.com/circulars/20200507-1/20200507-1.pdf" TargetMode="External"/><Relationship Id="rId7" Type="http://schemas.openxmlformats.org/officeDocument/2006/relationships/hyperlink" Target="https://www1.nseindia.com/content/circulars/SURV44330.zip" TargetMode="External"/><Relationship Id="rId12" Type="http://schemas.openxmlformats.org/officeDocument/2006/relationships/hyperlink" Target="https://www.bseindia.com/markets/MarketInfo/DispNewNoticesCirculars.aspx?page=20200507-14" TargetMode="External"/><Relationship Id="rId17" Type="http://schemas.openxmlformats.org/officeDocument/2006/relationships/hyperlink" Target="https://www.bseindia.com/markets/MarketInfo/DispNewNoticesCirculars.aspx?page=20200507-20" TargetMode="External"/><Relationship Id="rId25" Type="http://schemas.openxmlformats.org/officeDocument/2006/relationships/hyperlink" Target="https://www.bseindia.com/markets/MarketInfo/DispNewNoticesCirculars.aspx?page=20200508-28" TargetMode="External"/><Relationship Id="rId33" Type="http://schemas.openxmlformats.org/officeDocument/2006/relationships/hyperlink" Target="https://www.ncdex.com/Downloads/Circulars/PDF/General_advisory_on_due_diligence_and_risk_management.pdf" TargetMode="External"/><Relationship Id="rId38" Type="http://schemas.openxmlformats.org/officeDocument/2006/relationships/hyperlink" Target="https://nsdl.co.in/downloadables/pdf/2020-0063-Policy-SEBI%20Orders%20dated%20March%206,%202020.pd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seindia.com/markets/MarketInfo/DispNewNoticesCirculars.aspx?page=20200507-19" TargetMode="External"/><Relationship Id="rId20" Type="http://schemas.openxmlformats.org/officeDocument/2006/relationships/hyperlink" Target="https://www.bseindia.com/markets/MarketInfo/DispNewNoticesCirculars.aspx?page=20200508-21" TargetMode="External"/><Relationship Id="rId29" Type="http://schemas.openxmlformats.org/officeDocument/2006/relationships/hyperlink" Target="https://www.bseindia.com/markets/MarketInfo/DispNewNoticesCirculars.aspx?page=20200509-2" TargetMode="External"/><Relationship Id="rId41" Type="http://schemas.openxmlformats.org/officeDocument/2006/relationships/hyperlink" Target="https://nsdl.co.in/downloadables/pdf/2020-0065-Policy-FATF%20public%20statement%20dated%20Feb%2021,%202020%20and%20Improving%20Global%20AMLCFT%20Compliance-%20On-going%20Process%20Feb%2021,%20202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1.nseindia.com/content/circulars/SURV44326.zip" TargetMode="External"/><Relationship Id="rId11" Type="http://schemas.openxmlformats.org/officeDocument/2006/relationships/hyperlink" Target="https://www1.nseindia.com/content/circulars/COM44341.pdf" TargetMode="External"/><Relationship Id="rId24" Type="http://schemas.openxmlformats.org/officeDocument/2006/relationships/hyperlink" Target="https://www.bseindia.com/markets/MarketInfo/DispNewNoticesCirculars.aspx?page=20200508-26" TargetMode="External"/><Relationship Id="rId32" Type="http://schemas.openxmlformats.org/officeDocument/2006/relationships/hyperlink" Target="https://www.icexindia.com/docs/default-source/circulars/circular-for-introduction-of-invesco-mutual-fund.pdf?sfvrsn=88076143_2" TargetMode="External"/><Relationship Id="rId37" Type="http://schemas.openxmlformats.org/officeDocument/2006/relationships/hyperlink" Target="https://nsdl.co.in/downloadables/pdf/2020-0063-Policy-SEBI%20Orders%20issued%20under%20Section%2011B%20of%20the%20Securities%20and%20Exchange%20Board%20of%20India%20Act,%201992.pdf" TargetMode="External"/><Relationship Id="rId40" Type="http://schemas.openxmlformats.org/officeDocument/2006/relationships/hyperlink" Target="https://nsdl.co.in/downloadables/pdf/2020-0012-SPEED%20-e-Policy-Reduction%20of%20cut-off%20timing%20for%20redemption%20in%20various%20mutual%20fund%20schemes%20extended%20till%20further%20notice.pdf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www.bseindia.com/markets/MarketInfo/DispNewNoticesCirculars.aspx?page=20200507-18" TargetMode="External"/><Relationship Id="rId23" Type="http://schemas.openxmlformats.org/officeDocument/2006/relationships/hyperlink" Target="https://www.bseindia.com/markets/MarketInfo/DispNewNoticesCirculars.aspx?page=20200508-25" TargetMode="External"/><Relationship Id="rId28" Type="http://schemas.openxmlformats.org/officeDocument/2006/relationships/hyperlink" Target="https://www.bseindia.com/markets/MarketInfo/DispNewNoticesCirculars.aspx?page=20200508-31" TargetMode="External"/><Relationship Id="rId36" Type="http://schemas.openxmlformats.org/officeDocument/2006/relationships/hyperlink" Target="https://nsdl.co.in/downloadables/pdf/2020-0064-Policy-Change%20in%20Pay-in%20&amp;%20Pay-out%20time%20for%20NSE,%20BSE%20and%20MSE%20settlements.pdf" TargetMode="External"/><Relationship Id="rId10" Type="http://schemas.openxmlformats.org/officeDocument/2006/relationships/hyperlink" Target="https://www1.nseindia.com/content/circulars/SURV44340.pdf" TargetMode="External"/><Relationship Id="rId19" Type="http://schemas.openxmlformats.org/officeDocument/2006/relationships/hyperlink" Target="https://www.bseindia.com/markets/MarketInfo/DispNewNoticesCirculars.aspx?page=20200508-20" TargetMode="External"/><Relationship Id="rId31" Type="http://schemas.openxmlformats.org/officeDocument/2006/relationships/hyperlink" Target="https://www.mcxindia.com/docs/default-source/circulars/english/2020/may/circular-333-2020.pdf?sfvrsn=5ce99490_0" TargetMode="External"/><Relationship Id="rId44" Type="http://schemas.openxmlformats.org/officeDocument/2006/relationships/hyperlink" Target="https://www.indiainx.com/circulars/20200507-3/20200507-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nseindia.com/content/circulars/SURV44336.zip" TargetMode="External"/><Relationship Id="rId14" Type="http://schemas.openxmlformats.org/officeDocument/2006/relationships/hyperlink" Target="https://www.bseindia.com/markets/MarketInfo/DispNewNoticesCirculars.aspx?page=20200507-16" TargetMode="External"/><Relationship Id="rId22" Type="http://schemas.openxmlformats.org/officeDocument/2006/relationships/hyperlink" Target="https://www.bseindia.com/markets/MarketInfo/DispNewNoticesCirculars.aspx?page=20200508-23" TargetMode="External"/><Relationship Id="rId27" Type="http://schemas.openxmlformats.org/officeDocument/2006/relationships/hyperlink" Target="https://www.bseindia.com/markets/MarketInfo/DispNewNoticesCirculars.aspx?page=20200508-30" TargetMode="External"/><Relationship Id="rId30" Type="http://schemas.openxmlformats.org/officeDocument/2006/relationships/hyperlink" Target="https://www.mcxindia.com/docs/default-source/circulars/english/2020/may/mcxtech3322020-cancellation-of-monthly-mock-scheduled-on-may-09-202053e4ef4657fb64e3bdfdff00007acb35.pdf?sfvrsn=e31f8b90_0" TargetMode="External"/><Relationship Id="rId35" Type="http://schemas.openxmlformats.org/officeDocument/2006/relationships/hyperlink" Target="https://nsdl.co.in/downloadables/pdf/2020-0062-Policy-Relaxation%20in%20timelines%20for%20Concurrent%20Audit%20of%20depository%20operations.pdf" TargetMode="External"/><Relationship Id="rId43" Type="http://schemas.openxmlformats.org/officeDocument/2006/relationships/hyperlink" Target="https://www.indiainx.com/circulars/20200507-2/20200507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BAE5-1E3E-4C29-AB54-8DB7B708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125</cp:revision>
  <cp:lastPrinted>2020-04-27T05:57:00Z</cp:lastPrinted>
  <dcterms:created xsi:type="dcterms:W3CDTF">2020-03-16T05:50:00Z</dcterms:created>
  <dcterms:modified xsi:type="dcterms:W3CDTF">2020-05-11T05:08:00Z</dcterms:modified>
</cp:coreProperties>
</file>